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jc w:val="center"/>
        <w:tblCellSpacing w:w="7" w:type="dxa"/>
        <w:tblLook w:val="04A0" w:firstRow="1" w:lastRow="0" w:firstColumn="1" w:lastColumn="0" w:noHBand="0" w:noVBand="1"/>
      </w:tblPr>
      <w:tblGrid>
        <w:gridCol w:w="891"/>
        <w:gridCol w:w="8709"/>
      </w:tblGrid>
      <w:tr w:rsidR="00BA60DD" w:rsidTr="00BA60DD">
        <w:trPr>
          <w:tblCellSpacing w:w="7" w:type="dxa"/>
          <w:jc w:val="center"/>
        </w:trPr>
        <w:tc>
          <w:tcPr>
            <w:tcW w:w="510" w:type="dxa"/>
            <w:tcMar>
              <w:top w:w="15" w:type="dxa"/>
              <w:left w:w="15" w:type="dxa"/>
              <w:bottom w:w="15" w:type="dxa"/>
              <w:right w:w="15" w:type="dxa"/>
            </w:tcMar>
            <w:vAlign w:val="center"/>
            <w:hideMark/>
          </w:tcPr>
          <w:p w:rsidR="00BA60DD" w:rsidRDefault="00BA60DD">
            <w:pPr>
              <w:rPr>
                <w:rFonts w:ascii="Arial" w:eastAsia="Times New Roman" w:hAnsi="Arial" w:cs="Arial"/>
                <w:sz w:val="18"/>
                <w:szCs w:val="18"/>
              </w:rPr>
            </w:pPr>
            <w:r>
              <w:rPr>
                <w:rFonts w:ascii="Arial" w:eastAsia="Times New Roman" w:hAnsi="Arial" w:cs="Arial"/>
                <w:noProof/>
                <w:sz w:val="18"/>
                <w:szCs w:val="18"/>
              </w:rPr>
              <w:drawing>
                <wp:inline distT="0" distB="0" distL="0" distR="0">
                  <wp:extent cx="533400" cy="952500"/>
                  <wp:effectExtent l="0" t="0" r="0" b="0"/>
                  <wp:docPr id="3" name="Picture 3" descr="https://www.nationaljewish.org/NJH/media/ADX/imgs/1_NJH_ADx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tionaljewish.org/NJH/media/ADX/imgs/1_NJH_ADx_Logo_.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952500"/>
                          </a:xfrm>
                          <a:prstGeom prst="rect">
                            <a:avLst/>
                          </a:prstGeom>
                          <a:noFill/>
                          <a:ln>
                            <a:noFill/>
                          </a:ln>
                        </pic:spPr>
                      </pic:pic>
                    </a:graphicData>
                  </a:graphic>
                </wp:inline>
              </w:drawing>
            </w:r>
          </w:p>
        </w:tc>
        <w:tc>
          <w:tcPr>
            <w:tcW w:w="8985" w:type="dxa"/>
            <w:tcMar>
              <w:top w:w="15" w:type="dxa"/>
              <w:left w:w="15" w:type="dxa"/>
              <w:bottom w:w="15" w:type="dxa"/>
              <w:right w:w="15" w:type="dxa"/>
            </w:tcMar>
            <w:hideMark/>
          </w:tcPr>
          <w:p w:rsidR="00BA60DD" w:rsidRDefault="00BA60DD">
            <w:pPr>
              <w:rPr>
                <w:rFonts w:ascii="Arial" w:eastAsia="Times New Roman" w:hAnsi="Arial" w:cs="Arial"/>
                <w:sz w:val="18"/>
                <w:szCs w:val="18"/>
              </w:rPr>
            </w:pPr>
            <w:r>
              <w:rPr>
                <w:rFonts w:ascii="Arial" w:eastAsia="Times New Roman" w:hAnsi="Arial" w:cs="Arial"/>
                <w:noProof/>
                <w:sz w:val="18"/>
                <w:szCs w:val="18"/>
              </w:rPr>
              <w:drawing>
                <wp:inline distT="0" distB="0" distL="0" distR="0">
                  <wp:extent cx="1438275" cy="952500"/>
                  <wp:effectExtent l="0" t="0" r="9525" b="0"/>
                  <wp:docPr id="2" name="Picture 2" descr="https://www.nationaljewish.org/NJH/media/ADX/imgs/NJH_ADx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ationaljewish.org/NJH/media/ADX/imgs/NJH_ADx_Logo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952500"/>
                          </a:xfrm>
                          <a:prstGeom prst="rect">
                            <a:avLst/>
                          </a:prstGeom>
                          <a:noFill/>
                          <a:ln>
                            <a:noFill/>
                          </a:ln>
                        </pic:spPr>
                      </pic:pic>
                    </a:graphicData>
                  </a:graphic>
                </wp:inline>
              </w:drawing>
            </w:r>
          </w:p>
        </w:tc>
      </w:tr>
      <w:tr w:rsidR="00BA60DD" w:rsidTr="00BA60DD">
        <w:trPr>
          <w:tblCellSpacing w:w="7" w:type="dxa"/>
          <w:jc w:val="center"/>
        </w:trPr>
        <w:tc>
          <w:tcPr>
            <w:tcW w:w="0" w:type="auto"/>
            <w:tcMar>
              <w:top w:w="15" w:type="dxa"/>
              <w:left w:w="15" w:type="dxa"/>
              <w:bottom w:w="15" w:type="dxa"/>
              <w:right w:w="15" w:type="dxa"/>
            </w:tcMar>
            <w:vAlign w:val="center"/>
            <w:hideMark/>
          </w:tcPr>
          <w:p w:rsidR="00BA60DD" w:rsidRDefault="00BA60DD">
            <w:pPr>
              <w:rPr>
                <w:rFonts w:ascii="Arial" w:eastAsia="Times New Roman" w:hAnsi="Arial" w:cs="Arial"/>
                <w:sz w:val="18"/>
                <w:szCs w:val="18"/>
              </w:rPr>
            </w:pPr>
            <w:r>
              <w:rPr>
                <w:rFonts w:ascii="Arial" w:eastAsia="Times New Roman" w:hAnsi="Arial" w:cs="Arial"/>
                <w:sz w:val="18"/>
                <w:szCs w:val="18"/>
              </w:rPr>
              <w:t> </w:t>
            </w:r>
          </w:p>
        </w:tc>
        <w:tc>
          <w:tcPr>
            <w:tcW w:w="0" w:type="auto"/>
            <w:tcMar>
              <w:top w:w="15" w:type="dxa"/>
              <w:left w:w="15" w:type="dxa"/>
              <w:bottom w:w="15" w:type="dxa"/>
              <w:right w:w="15" w:type="dxa"/>
            </w:tcMar>
            <w:vAlign w:val="center"/>
            <w:hideMark/>
          </w:tcPr>
          <w:p w:rsidR="00735081" w:rsidRDefault="00BA60DD">
            <w:pPr>
              <w:rPr>
                <w:rFonts w:ascii="Arial" w:eastAsia="Times New Roman" w:hAnsi="Arial" w:cs="Arial"/>
                <w:sz w:val="18"/>
                <w:szCs w:val="18"/>
              </w:rPr>
            </w:pPr>
            <w:r>
              <w:rPr>
                <w:rFonts w:ascii="Arial" w:eastAsia="Times New Roman" w:hAnsi="Arial" w:cs="Arial"/>
                <w:sz w:val="18"/>
                <w:szCs w:val="18"/>
              </w:rPr>
              <w:br/>
              <w:t>March 13, 2020</w:t>
            </w:r>
            <w:r>
              <w:rPr>
                <w:rFonts w:ascii="Arial" w:eastAsia="Times New Roman" w:hAnsi="Arial" w:cs="Arial"/>
                <w:sz w:val="18"/>
                <w:szCs w:val="18"/>
              </w:rPr>
              <w:br/>
              <w:t> </w:t>
            </w:r>
            <w:r>
              <w:rPr>
                <w:rFonts w:ascii="Arial" w:eastAsia="Times New Roman" w:hAnsi="Arial" w:cs="Arial"/>
                <w:sz w:val="18"/>
                <w:szCs w:val="18"/>
              </w:rPr>
              <w:br/>
            </w:r>
            <w:r>
              <w:rPr>
                <w:rStyle w:val="Strong"/>
                <w:rFonts w:ascii="Arial" w:eastAsia="Times New Roman" w:hAnsi="Arial" w:cs="Arial"/>
                <w:sz w:val="18"/>
                <w:szCs w:val="18"/>
              </w:rPr>
              <w:t>IMPORTANT NOTICE: List Price Increase Effective June 1, 2020</w:t>
            </w:r>
            <w:r>
              <w:rPr>
                <w:rFonts w:ascii="Arial" w:eastAsia="Times New Roman" w:hAnsi="Arial" w:cs="Arial"/>
                <w:sz w:val="18"/>
                <w:szCs w:val="18"/>
              </w:rPr>
              <w:br/>
              <w:t> </w:t>
            </w:r>
            <w:r>
              <w:rPr>
                <w:rFonts w:ascii="Arial" w:eastAsia="Times New Roman" w:hAnsi="Arial" w:cs="Arial"/>
                <w:sz w:val="18"/>
                <w:szCs w:val="18"/>
              </w:rPr>
              <w:br/>
            </w:r>
            <w:r>
              <w:rPr>
                <w:rFonts w:ascii="Arial" w:eastAsia="Times New Roman" w:hAnsi="Arial" w:cs="Arial"/>
                <w:sz w:val="18"/>
                <w:szCs w:val="18"/>
              </w:rPr>
              <w:br/>
              <w:t>Dear Valued Client,</w:t>
            </w:r>
            <w:r>
              <w:rPr>
                <w:rFonts w:ascii="Arial" w:eastAsia="Times New Roman" w:hAnsi="Arial" w:cs="Arial"/>
                <w:sz w:val="18"/>
                <w:szCs w:val="18"/>
              </w:rPr>
              <w:br/>
              <w:t> </w:t>
            </w:r>
            <w:r>
              <w:rPr>
                <w:rFonts w:ascii="Arial" w:eastAsia="Times New Roman" w:hAnsi="Arial" w:cs="Arial"/>
                <w:sz w:val="18"/>
                <w:szCs w:val="18"/>
              </w:rPr>
              <w:br/>
              <w:t>National Jewish Health Advanced Diagnostic Laboratories is pleased to partner with you to provide high-quality results and the delivery of timely, actionable information via our specialized infectious disease/mycobacteriology, immunology and complement testing services. It is our purpose to provide cutting-edge testing that supports the needs of your patients, is proactive and is personalized. We also believe in continual, transparent communication with our valued clients and, as such, we are providing this 75-day advance notice regarding a change to our list price for tests.</w:t>
            </w:r>
            <w:r>
              <w:rPr>
                <w:rFonts w:ascii="Arial" w:eastAsia="Times New Roman" w:hAnsi="Arial" w:cs="Arial"/>
                <w:sz w:val="18"/>
                <w:szCs w:val="18"/>
              </w:rPr>
              <w:br/>
              <w:t> </w:t>
            </w:r>
            <w:r>
              <w:rPr>
                <w:rFonts w:ascii="Arial" w:eastAsia="Times New Roman" w:hAnsi="Arial" w:cs="Arial"/>
                <w:sz w:val="18"/>
                <w:szCs w:val="18"/>
              </w:rPr>
              <w:br/>
              <w:t>Like most of you, we have experienced inflationary effects in our business, as well as price increases from our suppliers. We have worked to avoid adjusting our prices, but can no longer continue to absorb these additional costs. This letter serves as notification that our "list" or fee schedule pricing, including specialized assays, will increase beginning June 1, 2020. The new fee schedule is available upon request.</w:t>
            </w:r>
            <w:r>
              <w:rPr>
                <w:rFonts w:ascii="Arial" w:eastAsia="Times New Roman" w:hAnsi="Arial" w:cs="Arial"/>
                <w:sz w:val="18"/>
                <w:szCs w:val="18"/>
              </w:rPr>
              <w:br/>
              <w:t> </w:t>
            </w:r>
            <w:r>
              <w:rPr>
                <w:rFonts w:ascii="Arial" w:eastAsia="Times New Roman" w:hAnsi="Arial" w:cs="Arial"/>
                <w:sz w:val="18"/>
                <w:szCs w:val="18"/>
              </w:rPr>
              <w:br/>
              <w:t>Thank you for your partnership and trust. We're honored to be a part of your passionate patient care. It is our pleasure to continue to assist you with your testing needs now and in the future. Please don't hesitate to contact us with any questions or suggestions.</w:t>
            </w:r>
            <w:r>
              <w:rPr>
                <w:rFonts w:ascii="Arial" w:eastAsia="Times New Roman" w:hAnsi="Arial" w:cs="Arial"/>
                <w:sz w:val="18"/>
                <w:szCs w:val="18"/>
              </w:rPr>
              <w:br/>
              <w:t> </w:t>
            </w:r>
            <w:r>
              <w:rPr>
                <w:rFonts w:ascii="Arial" w:eastAsia="Times New Roman" w:hAnsi="Arial" w:cs="Arial"/>
                <w:sz w:val="18"/>
                <w:szCs w:val="18"/>
              </w:rPr>
              <w:br/>
              <w:t xml:space="preserve">For additional information or questions, please contact Client Services at 800.550.6227 or via email at </w:t>
            </w:r>
            <w:hyperlink r:id="rId6" w:history="1">
              <w:r>
                <w:rPr>
                  <w:rStyle w:val="Hyperlink"/>
                  <w:rFonts w:ascii="Arial" w:eastAsia="Times New Roman" w:hAnsi="Arial" w:cs="Arial"/>
                  <w:sz w:val="18"/>
                  <w:szCs w:val="18"/>
                </w:rPr>
                <w:t>clinreflabs@njhealth.org</w:t>
              </w:r>
            </w:hyperlink>
            <w:r>
              <w:rPr>
                <w:rFonts w:ascii="Arial" w:eastAsia="Times New Roman" w:hAnsi="Arial" w:cs="Arial"/>
                <w:sz w:val="18"/>
                <w:szCs w:val="18"/>
              </w:rPr>
              <w:br/>
              <w:t> </w:t>
            </w:r>
            <w:r>
              <w:rPr>
                <w:rFonts w:ascii="Arial" w:eastAsia="Times New Roman" w:hAnsi="Arial" w:cs="Arial"/>
                <w:sz w:val="18"/>
                <w:szCs w:val="18"/>
              </w:rPr>
              <w:br/>
              <w:t> </w:t>
            </w:r>
            <w:r>
              <w:rPr>
                <w:rFonts w:ascii="Arial" w:eastAsia="Times New Roman" w:hAnsi="Arial" w:cs="Arial"/>
                <w:sz w:val="18"/>
                <w:szCs w:val="18"/>
              </w:rPr>
              <w:br/>
            </w:r>
            <w:r w:rsidR="00735081">
              <w:rPr>
                <w:rFonts w:ascii="Arial" w:eastAsia="Times New Roman" w:hAnsi="Arial" w:cs="Arial"/>
                <w:sz w:val="18"/>
                <w:szCs w:val="18"/>
              </w:rPr>
              <w:t>Regards,</w:t>
            </w:r>
            <w:r w:rsidR="00735081">
              <w:rPr>
                <w:rFonts w:ascii="Arial" w:eastAsia="Times New Roman" w:hAnsi="Arial" w:cs="Arial"/>
                <w:sz w:val="18"/>
                <w:szCs w:val="18"/>
              </w:rPr>
              <w:br/>
            </w:r>
          </w:p>
          <w:p w:rsidR="00BA60DD" w:rsidRDefault="00735081">
            <w:pPr>
              <w:rPr>
                <w:rFonts w:ascii="Arial" w:eastAsia="Times New Roman" w:hAnsi="Arial" w:cs="Arial"/>
                <w:sz w:val="18"/>
                <w:szCs w:val="18"/>
              </w:rPr>
            </w:pPr>
            <w:r>
              <w:rPr>
                <w:noProof/>
              </w:rPr>
              <w:drawing>
                <wp:inline distT="0" distB="0" distL="0" distR="0" wp14:anchorId="654D69F6" wp14:editId="18CC39D4">
                  <wp:extent cx="152400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4000" cy="295275"/>
                          </a:xfrm>
                          <a:prstGeom prst="rect">
                            <a:avLst/>
                          </a:prstGeom>
                        </pic:spPr>
                      </pic:pic>
                    </a:graphicData>
                  </a:graphic>
                </wp:inline>
              </w:drawing>
            </w:r>
            <w:bookmarkStart w:id="0" w:name="_GoBack"/>
            <w:bookmarkEnd w:id="0"/>
            <w:r>
              <w:rPr>
                <w:rFonts w:ascii="Calibri" w:hAnsi="Calibri" w:cs="Calibri"/>
                <w:noProof/>
                <w:color w:val="1F497D"/>
                <w:sz w:val="22"/>
                <w:szCs w:val="22"/>
              </w:rPr>
              <mc:AlternateContent>
                <mc:Choice Requires="wps">
                  <w:drawing>
                    <wp:inline distT="0" distB="0" distL="0" distR="0">
                      <wp:extent cx="1343025" cy="228600"/>
                      <wp:effectExtent l="0" t="0" r="0" b="0"/>
                      <wp:docPr id="6" name="Rectangle 6" descr="C:\Users\andersonmichael\AppData\Local\Microsoft\Windows\INetCache\Content.MSO\2B1D70E0.tm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43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0AFF6A" id="Rectangle 6" o:spid="_x0000_s1026" style="width:105.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" filled="f" stroked="f">
                      <o:lock v:ext="edit" aspectratio="t"/>
                      <w10:anchorlock/>
                    </v:rect>
                  </w:pict>
                </mc:Fallback>
              </mc:AlternateContent>
            </w:r>
            <w:r w:rsidR="00BA60DD">
              <w:rPr>
                <w:rFonts w:ascii="Arial" w:eastAsia="Times New Roman" w:hAnsi="Arial" w:cs="Arial"/>
                <w:sz w:val="18"/>
                <w:szCs w:val="18"/>
              </w:rPr>
              <w:t> </w:t>
            </w:r>
            <w:r w:rsidR="00BA60DD">
              <w:rPr>
                <w:rFonts w:ascii="Arial" w:eastAsia="Times New Roman" w:hAnsi="Arial" w:cs="Arial"/>
                <w:sz w:val="18"/>
                <w:szCs w:val="18"/>
              </w:rPr>
              <w:br/>
              <w:t>Lara Yourkin, MBA Associate Executive Director</w:t>
            </w:r>
            <w:r w:rsidR="00BA60DD">
              <w:rPr>
                <w:rFonts w:ascii="Arial" w:eastAsia="Times New Roman" w:hAnsi="Arial" w:cs="Arial"/>
                <w:sz w:val="18"/>
                <w:szCs w:val="18"/>
              </w:rPr>
              <w:br/>
              <w:t>Advanced Diagnostic Laboratories National Jewish Health</w:t>
            </w:r>
            <w:r w:rsidR="00BA60DD">
              <w:rPr>
                <w:rFonts w:ascii="Arial" w:eastAsia="Times New Roman" w:hAnsi="Arial" w:cs="Arial"/>
                <w:sz w:val="18"/>
                <w:szCs w:val="18"/>
              </w:rPr>
              <w:br/>
              <w:t> </w:t>
            </w:r>
            <w:r w:rsidR="00BA60DD">
              <w:rPr>
                <w:rFonts w:ascii="Arial" w:eastAsia="Times New Roman" w:hAnsi="Arial" w:cs="Arial"/>
                <w:sz w:val="18"/>
                <w:szCs w:val="18"/>
              </w:rPr>
              <w:br/>
              <w:t> </w:t>
            </w:r>
          </w:p>
        </w:tc>
      </w:tr>
      <w:tr w:rsidR="00BA60DD" w:rsidTr="00BA60DD">
        <w:trPr>
          <w:tblCellSpacing w:w="7" w:type="dxa"/>
          <w:jc w:val="center"/>
        </w:trPr>
        <w:tc>
          <w:tcPr>
            <w:tcW w:w="0" w:type="auto"/>
            <w:gridSpan w:val="2"/>
            <w:tcMar>
              <w:top w:w="15" w:type="dxa"/>
              <w:left w:w="15" w:type="dxa"/>
              <w:bottom w:w="15" w:type="dxa"/>
              <w:right w:w="15" w:type="dxa"/>
            </w:tcMar>
            <w:vAlign w:val="center"/>
            <w:hideMark/>
          </w:tcPr>
          <w:p w:rsidR="00BA60DD" w:rsidRDefault="00BA60DD">
            <w:pPr>
              <w:rPr>
                <w:rFonts w:ascii="Arial" w:eastAsia="Times New Roman" w:hAnsi="Arial" w:cs="Arial"/>
                <w:sz w:val="18"/>
                <w:szCs w:val="18"/>
              </w:rPr>
            </w:pPr>
            <w:r>
              <w:rPr>
                <w:rFonts w:ascii="Arial" w:eastAsia="Times New Roman" w:hAnsi="Arial" w:cs="Arial"/>
                <w:sz w:val="18"/>
                <w:szCs w:val="18"/>
              </w:rPr>
              <w:t> </w:t>
            </w:r>
          </w:p>
        </w:tc>
      </w:tr>
      <w:tr w:rsidR="00BA60DD" w:rsidTr="00BA60DD">
        <w:trPr>
          <w:tblCellSpacing w:w="7" w:type="dxa"/>
          <w:jc w:val="center"/>
        </w:trPr>
        <w:tc>
          <w:tcPr>
            <w:tcW w:w="0" w:type="auto"/>
            <w:tcMar>
              <w:top w:w="15" w:type="dxa"/>
              <w:left w:w="15" w:type="dxa"/>
              <w:bottom w:w="15" w:type="dxa"/>
              <w:right w:w="15" w:type="dxa"/>
            </w:tcMar>
            <w:vAlign w:val="center"/>
            <w:hideMark/>
          </w:tcPr>
          <w:p w:rsidR="00BA60DD" w:rsidRDefault="00BA60DD">
            <w:pPr>
              <w:rPr>
                <w:rFonts w:ascii="Arial" w:eastAsia="Times New Roman" w:hAnsi="Arial" w:cs="Arial"/>
                <w:sz w:val="18"/>
                <w:szCs w:val="18"/>
              </w:rPr>
            </w:pPr>
            <w:r>
              <w:rPr>
                <w:rFonts w:ascii="Arial" w:eastAsia="Times New Roman" w:hAnsi="Arial" w:cs="Arial"/>
                <w:sz w:val="18"/>
                <w:szCs w:val="18"/>
              </w:rPr>
              <w:t> </w:t>
            </w:r>
          </w:p>
        </w:tc>
        <w:tc>
          <w:tcPr>
            <w:tcW w:w="0" w:type="auto"/>
            <w:tcMar>
              <w:top w:w="15" w:type="dxa"/>
              <w:left w:w="15" w:type="dxa"/>
              <w:bottom w:w="15" w:type="dxa"/>
              <w:right w:w="15" w:type="dxa"/>
            </w:tcMar>
            <w:vAlign w:val="center"/>
            <w:hideMark/>
          </w:tcPr>
          <w:p w:rsidR="00BA60DD" w:rsidRDefault="00BA60DD">
            <w:pPr>
              <w:jc w:val="center"/>
              <w:rPr>
                <w:rFonts w:ascii="Arial" w:eastAsia="Times New Roman" w:hAnsi="Arial" w:cs="Arial"/>
                <w:sz w:val="18"/>
                <w:szCs w:val="18"/>
              </w:rPr>
            </w:pPr>
            <w:r>
              <w:rPr>
                <w:rFonts w:ascii="Arial" w:eastAsia="Times New Roman" w:hAnsi="Arial" w:cs="Arial"/>
                <w:sz w:val="18"/>
                <w:szCs w:val="18"/>
              </w:rPr>
              <w:pict>
                <v:rect id="_x0000_i1028" style="width:468pt;height:1.5pt" o:hralign="center" o:hrstd="t" o:hr="t" fillcolor="#a0a0a0" stroked="f"/>
              </w:pict>
            </w:r>
          </w:p>
        </w:tc>
      </w:tr>
      <w:tr w:rsidR="00BA60DD" w:rsidTr="00BA60DD">
        <w:trPr>
          <w:tblCellSpacing w:w="7" w:type="dxa"/>
          <w:jc w:val="center"/>
        </w:trPr>
        <w:tc>
          <w:tcPr>
            <w:tcW w:w="0" w:type="auto"/>
            <w:gridSpan w:val="2"/>
            <w:tcMar>
              <w:top w:w="15" w:type="dxa"/>
              <w:left w:w="15" w:type="dxa"/>
              <w:bottom w:w="15" w:type="dxa"/>
              <w:right w:w="15" w:type="dxa"/>
            </w:tcMar>
            <w:vAlign w:val="center"/>
            <w:hideMark/>
          </w:tcPr>
          <w:p w:rsidR="00BA60DD" w:rsidRDefault="00BA60DD">
            <w:pPr>
              <w:pStyle w:val="NormalWeb"/>
              <w:jc w:val="center"/>
              <w:rPr>
                <w:rFonts w:ascii="Arial" w:hAnsi="Arial" w:cs="Arial"/>
                <w:sz w:val="18"/>
                <w:szCs w:val="18"/>
              </w:rPr>
            </w:pPr>
            <w:r>
              <w:rPr>
                <w:rFonts w:ascii="Arial" w:hAnsi="Arial" w:cs="Arial"/>
                <w:sz w:val="18"/>
                <w:szCs w:val="18"/>
              </w:rPr>
              <w:t> </w:t>
            </w:r>
          </w:p>
          <w:p w:rsidR="00BA60DD" w:rsidRDefault="00BA60DD">
            <w:pPr>
              <w:pStyle w:val="NormalWeb"/>
              <w:jc w:val="center"/>
              <w:rPr>
                <w:rFonts w:ascii="Arial" w:hAnsi="Arial" w:cs="Arial"/>
                <w:color w:val="1A7DC1"/>
                <w:sz w:val="18"/>
                <w:szCs w:val="18"/>
              </w:rPr>
            </w:pPr>
            <w:r>
              <w:rPr>
                <w:rFonts w:ascii="Arial" w:hAnsi="Arial" w:cs="Arial"/>
                <w:color w:val="1A7DC1"/>
                <w:sz w:val="18"/>
                <w:szCs w:val="18"/>
              </w:rPr>
              <w:t>njlabs.org | 800.550.6227 (toll-free) | 800.652.9556 (fax)</w:t>
            </w:r>
          </w:p>
          <w:p w:rsidR="00BA60DD" w:rsidRDefault="00BA60DD">
            <w:pPr>
              <w:pStyle w:val="NormalWeb"/>
              <w:jc w:val="center"/>
              <w:rPr>
                <w:rFonts w:ascii="Arial" w:hAnsi="Arial" w:cs="Arial"/>
                <w:sz w:val="18"/>
                <w:szCs w:val="18"/>
              </w:rPr>
            </w:pPr>
            <w:r>
              <w:rPr>
                <w:rFonts w:ascii="Arial" w:hAnsi="Arial" w:cs="Arial"/>
                <w:sz w:val="18"/>
                <w:szCs w:val="18"/>
              </w:rPr>
              <w:t> </w:t>
            </w:r>
          </w:p>
        </w:tc>
      </w:tr>
      <w:tr w:rsidR="00BA60DD" w:rsidTr="00BA60DD">
        <w:trPr>
          <w:tblCellSpacing w:w="7" w:type="dxa"/>
          <w:jc w:val="center"/>
        </w:trPr>
        <w:tc>
          <w:tcPr>
            <w:tcW w:w="0" w:type="auto"/>
            <w:gridSpan w:val="2"/>
            <w:tcMar>
              <w:top w:w="15" w:type="dxa"/>
              <w:left w:w="15" w:type="dxa"/>
              <w:bottom w:w="15" w:type="dxa"/>
              <w:right w:w="15" w:type="dxa"/>
            </w:tcMar>
            <w:vAlign w:val="center"/>
            <w:hideMark/>
          </w:tcPr>
          <w:p w:rsidR="00BA60DD" w:rsidRDefault="00BA60DD">
            <w:pPr>
              <w:rPr>
                <w:rFonts w:ascii="Arial" w:hAnsi="Arial" w:cs="Arial"/>
                <w:sz w:val="18"/>
                <w:szCs w:val="18"/>
              </w:rPr>
            </w:pPr>
          </w:p>
        </w:tc>
      </w:tr>
      <w:tr w:rsidR="00BA60DD" w:rsidTr="00BA60DD">
        <w:trPr>
          <w:tblCellSpacing w:w="7" w:type="dxa"/>
          <w:jc w:val="center"/>
        </w:trPr>
        <w:tc>
          <w:tcPr>
            <w:tcW w:w="0" w:type="auto"/>
            <w:tcMar>
              <w:top w:w="15" w:type="dxa"/>
              <w:left w:w="15" w:type="dxa"/>
              <w:bottom w:w="15" w:type="dxa"/>
              <w:right w:w="15" w:type="dxa"/>
            </w:tcMar>
            <w:vAlign w:val="center"/>
            <w:hideMark/>
          </w:tcPr>
          <w:p w:rsidR="00BA60DD" w:rsidRDefault="00BA60DD">
            <w:pPr>
              <w:rPr>
                <w:rFonts w:eastAsia="Times New Roman"/>
                <w:sz w:val="20"/>
                <w:szCs w:val="20"/>
              </w:rPr>
            </w:pPr>
          </w:p>
        </w:tc>
        <w:tc>
          <w:tcPr>
            <w:tcW w:w="0" w:type="auto"/>
            <w:tcMar>
              <w:top w:w="15" w:type="dxa"/>
              <w:left w:w="15" w:type="dxa"/>
              <w:bottom w:w="15" w:type="dxa"/>
              <w:right w:w="15" w:type="dxa"/>
            </w:tcMar>
            <w:vAlign w:val="center"/>
            <w:hideMark/>
          </w:tcPr>
          <w:p w:rsidR="00BA60DD" w:rsidRDefault="00BA60DD">
            <w:pPr>
              <w:rPr>
                <w:rFonts w:ascii="Arial" w:eastAsia="Times New Roman" w:hAnsi="Arial" w:cs="Arial"/>
                <w:sz w:val="18"/>
                <w:szCs w:val="18"/>
              </w:rPr>
            </w:pPr>
            <w:hyperlink r:id="rId8" w:history="1">
              <w:r>
                <w:rPr>
                  <w:rStyle w:val="Hyperlink"/>
                  <w:rFonts w:ascii="Arial" w:eastAsia="Times New Roman" w:hAnsi="Arial" w:cs="Arial"/>
                  <w:sz w:val="18"/>
                  <w:szCs w:val="18"/>
                </w:rPr>
                <w:t>Unsubscribe</w:t>
              </w:r>
            </w:hyperlink>
            <w:r>
              <w:rPr>
                <w:rFonts w:ascii="Arial" w:eastAsia="Times New Roman" w:hAnsi="Arial" w:cs="Arial"/>
                <w:sz w:val="18"/>
                <w:szCs w:val="18"/>
              </w:rPr>
              <w:t xml:space="preserve"> from emails from this list.</w:t>
            </w:r>
          </w:p>
        </w:tc>
      </w:tr>
    </w:tbl>
    <w:p w:rsidR="00BA60DD" w:rsidRDefault="00BA60DD" w:rsidP="00BA60DD">
      <w:pPr>
        <w:rPr>
          <w:rFonts w:eastAsia="Times New Roman"/>
        </w:rPr>
      </w:pPr>
    </w:p>
    <w:p w:rsidR="00A15B5E" w:rsidRDefault="00A15B5E"/>
    <w:sectPr w:rsidR="00A15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0DD"/>
    <w:rsid w:val="00735081"/>
    <w:rsid w:val="00A15B5E"/>
    <w:rsid w:val="00BA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5F69"/>
  <w15:chartTrackingRefBased/>
  <w15:docId w15:val="{95EACC3C-8852-45A1-A140-244E9307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0D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60DD"/>
    <w:rPr>
      <w:color w:val="0000FF"/>
      <w:u w:val="single"/>
    </w:rPr>
  </w:style>
  <w:style w:type="paragraph" w:styleId="NormalWeb">
    <w:name w:val="Normal (Web)"/>
    <w:basedOn w:val="Normal"/>
    <w:uiPriority w:val="99"/>
    <w:semiHidden/>
    <w:unhideWhenUsed/>
    <w:rsid w:val="00BA60DD"/>
    <w:pPr>
      <w:spacing w:before="100" w:beforeAutospacing="1" w:after="100" w:afterAutospacing="1"/>
    </w:pPr>
  </w:style>
  <w:style w:type="character" w:styleId="Strong">
    <w:name w:val="Strong"/>
    <w:basedOn w:val="DefaultParagraphFont"/>
    <w:uiPriority w:val="22"/>
    <w:qFormat/>
    <w:rsid w:val="00BA60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2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jewish.org/unsubscribe?issueguid=05dc4c71-af78-43aa-bea1-d6f27a8897c2&amp;email=tony%40starkindustries.local&amp;hash=3b0dd5cd4f52dd9142830ca62e2c2450e120cb4f13ffef6656d02a2ff4f1ad73&amp;newsletterguid=281c0f78-587c-42ea-b64c-f1e2df755ee0"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inreflabs@njhealth.org"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National Jewish Health</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Michael</dc:creator>
  <cp:keywords/>
  <dc:description/>
  <cp:lastModifiedBy>Anderson, Michael</cp:lastModifiedBy>
  <cp:revision>2</cp:revision>
  <dcterms:created xsi:type="dcterms:W3CDTF">2020-03-13T21:46:00Z</dcterms:created>
  <dcterms:modified xsi:type="dcterms:W3CDTF">2020-03-13T21:48:00Z</dcterms:modified>
</cp:coreProperties>
</file>